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3F5" w14:textId="26E12BDC" w:rsidR="00D819E1" w:rsidRPr="004400EF" w:rsidRDefault="00020AC2" w:rsidP="00D819E1">
      <w:pPr>
        <w:pStyle w:val="Title"/>
        <w:rPr>
          <w:bCs w:val="0"/>
          <w:color w:val="C00000"/>
          <w:w w:val="120"/>
          <w:szCs w:val="22"/>
          <w:u w:val="single"/>
        </w:rPr>
      </w:pPr>
      <w:r>
        <w:rPr>
          <w:bCs w:val="0"/>
          <w:color w:val="C00000"/>
          <w:w w:val="120"/>
          <w:szCs w:val="22"/>
          <w:u w:val="single"/>
        </w:rPr>
        <w:t>PURPLE UNITED SALES</w:t>
      </w:r>
      <w:r w:rsidR="00D819E1" w:rsidRPr="004400EF">
        <w:rPr>
          <w:bCs w:val="0"/>
          <w:color w:val="C00000"/>
          <w:w w:val="120"/>
          <w:szCs w:val="22"/>
          <w:u w:val="single"/>
        </w:rPr>
        <w:t xml:space="preserve"> LIMITED</w:t>
      </w:r>
    </w:p>
    <w:p w14:paraId="6AA86DCB" w14:textId="77777777" w:rsidR="00D819E1" w:rsidRPr="00F03ACE" w:rsidRDefault="00D819E1" w:rsidP="00D819E1">
      <w:pPr>
        <w:pStyle w:val="BodyText"/>
        <w:rPr>
          <w:b/>
          <w:u w:val="single"/>
        </w:rPr>
      </w:pPr>
    </w:p>
    <w:p w14:paraId="5A89053F" w14:textId="77777777" w:rsidR="0047770D" w:rsidRDefault="0047770D" w:rsidP="00B45C88">
      <w:pPr>
        <w:spacing w:after="0" w:line="240" w:lineRule="auto"/>
        <w:jc w:val="center"/>
        <w:rPr>
          <w:rFonts w:ascii="Microsoft Sans Serif" w:eastAsia="Microsoft Sans Serif" w:hAnsi="Microsoft Sans Serif" w:cs="Microsoft Sans Serif"/>
          <w:b/>
          <w:color w:val="E26C09"/>
          <w:w w:val="120"/>
          <w:sz w:val="24"/>
          <w:u w:val="single"/>
        </w:rPr>
      </w:pPr>
      <w:r w:rsidRPr="00B45C88">
        <w:rPr>
          <w:rFonts w:ascii="Microsoft Sans Serif" w:eastAsia="Microsoft Sans Serif" w:hAnsi="Microsoft Sans Serif" w:cs="Microsoft Sans Serif"/>
          <w:b/>
          <w:color w:val="E26C09"/>
          <w:w w:val="120"/>
          <w:sz w:val="24"/>
          <w:u w:val="single"/>
        </w:rPr>
        <w:t>Policy for Determination of “Legitimate Purposes”</w:t>
      </w:r>
    </w:p>
    <w:p w14:paraId="559B2F6E" w14:textId="77777777" w:rsidR="00B45C88" w:rsidRPr="00B45C88" w:rsidRDefault="00B45C88" w:rsidP="00B45C88">
      <w:pPr>
        <w:spacing w:after="0" w:line="240" w:lineRule="auto"/>
        <w:rPr>
          <w:rFonts w:ascii="Microsoft Sans Serif" w:eastAsia="Microsoft Sans Serif" w:hAnsi="Microsoft Sans Serif" w:cs="Microsoft Sans Serif"/>
          <w:b/>
          <w:color w:val="E26C09"/>
          <w:w w:val="120"/>
          <w:sz w:val="24"/>
          <w:u w:val="single"/>
        </w:rPr>
      </w:pPr>
    </w:p>
    <w:p w14:paraId="3D777E3B" w14:textId="77777777" w:rsidR="0047770D" w:rsidRPr="00472CD5" w:rsidRDefault="0047770D" w:rsidP="006657A2">
      <w:pPr>
        <w:jc w:val="center"/>
        <w:rPr>
          <w:rFonts w:ascii="Microsoft Sans Serif" w:eastAsia="Microsoft Sans Serif" w:hAnsi="Microsoft Sans Serif" w:cs="Microsoft Sans Serif"/>
          <w:b/>
          <w:color w:val="E26C09"/>
          <w:w w:val="120"/>
          <w:u w:val="single"/>
        </w:rPr>
      </w:pPr>
      <w:r w:rsidRPr="00472CD5">
        <w:rPr>
          <w:rFonts w:ascii="Microsoft Sans Serif" w:eastAsia="Microsoft Sans Serif" w:hAnsi="Microsoft Sans Serif" w:cs="Microsoft Sans Serif"/>
          <w:b/>
          <w:color w:val="E26C09"/>
          <w:w w:val="120"/>
          <w:u w:val="single"/>
        </w:rPr>
        <w:t xml:space="preserve">[Pursuant to </w:t>
      </w:r>
      <w:r w:rsidR="00147EAA" w:rsidRPr="00472CD5">
        <w:rPr>
          <w:rFonts w:ascii="Microsoft Sans Serif" w:eastAsia="Microsoft Sans Serif" w:hAnsi="Microsoft Sans Serif" w:cs="Microsoft Sans Serif"/>
          <w:b/>
          <w:color w:val="E26C09"/>
          <w:w w:val="120"/>
          <w:u w:val="single"/>
        </w:rPr>
        <w:t>Reg</w:t>
      </w:r>
      <w:r w:rsidR="006138E3" w:rsidRPr="00472CD5">
        <w:rPr>
          <w:rFonts w:ascii="Microsoft Sans Serif" w:eastAsia="Microsoft Sans Serif" w:hAnsi="Microsoft Sans Serif" w:cs="Microsoft Sans Serif"/>
          <w:b/>
          <w:color w:val="E26C09"/>
          <w:w w:val="120"/>
          <w:u w:val="single"/>
        </w:rPr>
        <w:t xml:space="preserve">ulation </w:t>
      </w:r>
      <w:r w:rsidR="00147EAA" w:rsidRPr="00472CD5">
        <w:rPr>
          <w:rFonts w:ascii="Microsoft Sans Serif" w:eastAsia="Microsoft Sans Serif" w:hAnsi="Microsoft Sans Serif" w:cs="Microsoft Sans Serif"/>
          <w:b/>
          <w:color w:val="E26C09"/>
          <w:w w:val="120"/>
          <w:u w:val="single"/>
        </w:rPr>
        <w:t xml:space="preserve">3 (2A) of </w:t>
      </w:r>
      <w:r w:rsidRPr="00472CD5">
        <w:rPr>
          <w:rFonts w:ascii="Microsoft Sans Serif" w:eastAsia="Microsoft Sans Serif" w:hAnsi="Microsoft Sans Serif" w:cs="Microsoft Sans Serif"/>
          <w:b/>
          <w:color w:val="E26C09"/>
          <w:w w:val="120"/>
          <w:u w:val="single"/>
        </w:rPr>
        <w:t>SEBI (Prohibition of Insider Trading) Regulations, 2015]</w:t>
      </w:r>
    </w:p>
    <w:p w14:paraId="2C326D29" w14:textId="11DB5528" w:rsidR="0099233B" w:rsidRPr="006426D6" w:rsidRDefault="0047770D" w:rsidP="000E6393">
      <w:pPr>
        <w:spacing w:after="0" w:line="240" w:lineRule="auto"/>
        <w:jc w:val="center"/>
        <w:rPr>
          <w:rFonts w:cstheme="minorHAnsi"/>
          <w:b/>
          <w:sz w:val="24"/>
          <w:szCs w:val="24"/>
          <w:u w:val="single"/>
        </w:rPr>
      </w:pPr>
      <w:r w:rsidRPr="006426D6">
        <w:rPr>
          <w:rFonts w:cstheme="minorHAnsi"/>
          <w:b/>
          <w:sz w:val="24"/>
          <w:szCs w:val="24"/>
          <w:u w:val="single"/>
        </w:rPr>
        <w:t xml:space="preserve">Approved by </w:t>
      </w:r>
      <w:r w:rsidR="003B6372">
        <w:rPr>
          <w:rFonts w:cstheme="minorHAnsi"/>
          <w:b/>
          <w:sz w:val="24"/>
          <w:szCs w:val="24"/>
          <w:u w:val="single"/>
        </w:rPr>
        <w:t xml:space="preserve">the </w:t>
      </w:r>
      <w:r w:rsidRPr="006426D6">
        <w:rPr>
          <w:rFonts w:cstheme="minorHAnsi"/>
          <w:b/>
          <w:sz w:val="24"/>
          <w:szCs w:val="24"/>
          <w:u w:val="single"/>
        </w:rPr>
        <w:t xml:space="preserve">Audit Committee </w:t>
      </w:r>
      <w:r w:rsidR="00D54893" w:rsidRPr="006426D6">
        <w:rPr>
          <w:rFonts w:cstheme="minorHAnsi"/>
          <w:b/>
          <w:sz w:val="24"/>
          <w:szCs w:val="24"/>
          <w:u w:val="single"/>
        </w:rPr>
        <w:t xml:space="preserve">and Board </w:t>
      </w:r>
      <w:r w:rsidR="008A49F1" w:rsidRPr="006426D6">
        <w:rPr>
          <w:rFonts w:cstheme="minorHAnsi"/>
          <w:b/>
          <w:sz w:val="24"/>
          <w:szCs w:val="24"/>
          <w:u w:val="single"/>
        </w:rPr>
        <w:t xml:space="preserve">of Directors </w:t>
      </w:r>
      <w:r w:rsidRPr="006426D6">
        <w:rPr>
          <w:rFonts w:cstheme="minorHAnsi"/>
          <w:b/>
          <w:sz w:val="24"/>
          <w:szCs w:val="24"/>
          <w:u w:val="single"/>
        </w:rPr>
        <w:t xml:space="preserve">Meeting held on </w:t>
      </w:r>
      <w:r w:rsidR="00CD1071">
        <w:rPr>
          <w:rFonts w:cstheme="minorHAnsi"/>
          <w:b/>
          <w:sz w:val="24"/>
          <w:szCs w:val="24"/>
          <w:u w:val="single"/>
        </w:rPr>
        <w:t>____________</w:t>
      </w:r>
      <w:r w:rsidR="003B0A76">
        <w:rPr>
          <w:rFonts w:cstheme="minorHAnsi"/>
          <w:b/>
          <w:sz w:val="24"/>
          <w:szCs w:val="24"/>
          <w:u w:val="single"/>
        </w:rPr>
        <w:t xml:space="preserve"> </w:t>
      </w:r>
    </w:p>
    <w:p w14:paraId="25927B90" w14:textId="255741AA" w:rsidR="0047770D" w:rsidRPr="006426D6" w:rsidRDefault="00074F15" w:rsidP="000E6393">
      <w:pPr>
        <w:spacing w:after="0" w:line="240" w:lineRule="auto"/>
        <w:jc w:val="center"/>
        <w:rPr>
          <w:rFonts w:cstheme="minorHAnsi"/>
          <w:sz w:val="24"/>
          <w:szCs w:val="24"/>
        </w:rPr>
      </w:pPr>
      <w:r w:rsidRPr="006426D6">
        <w:rPr>
          <w:rFonts w:cstheme="minorHAnsi"/>
          <w:b/>
          <w:sz w:val="24"/>
          <w:szCs w:val="24"/>
          <w:u w:val="single"/>
        </w:rPr>
        <w:t>(</w:t>
      </w:r>
      <w:proofErr w:type="spellStart"/>
      <w:r w:rsidRPr="006426D6">
        <w:rPr>
          <w:rFonts w:cstheme="minorHAnsi"/>
          <w:b/>
          <w:sz w:val="24"/>
          <w:szCs w:val="24"/>
          <w:u w:val="single"/>
        </w:rPr>
        <w:t>w.e.f</w:t>
      </w:r>
      <w:proofErr w:type="spellEnd"/>
      <w:r w:rsidRPr="006426D6">
        <w:rPr>
          <w:rFonts w:cstheme="minorHAnsi"/>
          <w:b/>
          <w:sz w:val="24"/>
          <w:szCs w:val="24"/>
          <w:u w:val="single"/>
        </w:rPr>
        <w:t xml:space="preserve"> from</w:t>
      </w:r>
      <w:r w:rsidR="00800C26">
        <w:rPr>
          <w:rFonts w:cstheme="minorHAnsi"/>
          <w:b/>
          <w:sz w:val="24"/>
          <w:szCs w:val="24"/>
          <w:u w:val="single"/>
        </w:rPr>
        <w:t xml:space="preserve"> </w:t>
      </w:r>
      <w:r w:rsidR="00CD1071">
        <w:rPr>
          <w:rFonts w:cstheme="minorHAnsi"/>
          <w:b/>
          <w:sz w:val="24"/>
          <w:szCs w:val="24"/>
          <w:u w:val="single"/>
        </w:rPr>
        <w:t>_______________</w:t>
      </w:r>
      <w:r w:rsidRPr="006426D6">
        <w:rPr>
          <w:rFonts w:cstheme="minorHAnsi"/>
          <w:b/>
          <w:sz w:val="24"/>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567"/>
      </w:tblGrid>
      <w:tr w:rsidR="0047770D" w:rsidRPr="006426D6" w14:paraId="01556064" w14:textId="77777777" w:rsidTr="00B65E9A">
        <w:tc>
          <w:tcPr>
            <w:tcW w:w="9242" w:type="dxa"/>
            <w:gridSpan w:val="2"/>
          </w:tcPr>
          <w:p w14:paraId="7F9B0997" w14:textId="77777777" w:rsidR="00036CDF" w:rsidRPr="006426D6" w:rsidRDefault="00036CDF" w:rsidP="003F1162">
            <w:pPr>
              <w:jc w:val="both"/>
              <w:rPr>
                <w:rFonts w:cstheme="minorHAnsi"/>
                <w:b/>
                <w:sz w:val="24"/>
                <w:szCs w:val="24"/>
                <w:u w:val="single"/>
              </w:rPr>
            </w:pPr>
          </w:p>
          <w:p w14:paraId="79CBF497" w14:textId="77777777" w:rsidR="0047770D" w:rsidRPr="006426D6" w:rsidRDefault="00B65E9A" w:rsidP="003F1162">
            <w:pPr>
              <w:jc w:val="both"/>
              <w:rPr>
                <w:rFonts w:cstheme="minorHAnsi"/>
                <w:b/>
                <w:sz w:val="24"/>
                <w:szCs w:val="24"/>
                <w:u w:val="single"/>
              </w:rPr>
            </w:pPr>
            <w:r w:rsidRPr="006426D6">
              <w:rPr>
                <w:rFonts w:cstheme="minorHAnsi"/>
                <w:b/>
                <w:sz w:val="24"/>
                <w:szCs w:val="24"/>
                <w:u w:val="single"/>
              </w:rPr>
              <w:t>CONNOTATION</w:t>
            </w:r>
          </w:p>
          <w:p w14:paraId="2073461C" w14:textId="77777777" w:rsidR="006657A2" w:rsidRPr="006426D6" w:rsidRDefault="006657A2" w:rsidP="003F1162">
            <w:pPr>
              <w:jc w:val="both"/>
              <w:rPr>
                <w:rFonts w:cstheme="minorHAnsi"/>
                <w:b/>
                <w:sz w:val="24"/>
                <w:szCs w:val="24"/>
                <w:u w:val="single"/>
              </w:rPr>
            </w:pPr>
          </w:p>
        </w:tc>
      </w:tr>
      <w:tr w:rsidR="0047770D" w:rsidRPr="006426D6" w14:paraId="423119A0" w14:textId="77777777" w:rsidTr="00B65E9A">
        <w:tc>
          <w:tcPr>
            <w:tcW w:w="9242" w:type="dxa"/>
            <w:gridSpan w:val="2"/>
          </w:tcPr>
          <w:p w14:paraId="435F82FE" w14:textId="77777777" w:rsidR="0047770D" w:rsidRPr="006426D6" w:rsidRDefault="0047770D" w:rsidP="003F1162">
            <w:pPr>
              <w:jc w:val="both"/>
              <w:rPr>
                <w:rFonts w:cstheme="minorHAnsi"/>
                <w:b/>
                <w:sz w:val="24"/>
                <w:szCs w:val="24"/>
              </w:rPr>
            </w:pPr>
            <w:r w:rsidRPr="006426D6">
              <w:rPr>
                <w:rFonts w:cstheme="minorHAnsi"/>
                <w:b/>
                <w:sz w:val="24"/>
                <w:szCs w:val="24"/>
              </w:rPr>
              <w:t>“Legitimate purpose”</w:t>
            </w:r>
          </w:p>
        </w:tc>
      </w:tr>
      <w:tr w:rsidR="0047770D" w:rsidRPr="006426D6" w14:paraId="12C65C7B" w14:textId="77777777" w:rsidTr="00B65E9A">
        <w:tc>
          <w:tcPr>
            <w:tcW w:w="675" w:type="dxa"/>
          </w:tcPr>
          <w:p w14:paraId="70B0DBC6" w14:textId="77777777" w:rsidR="0047770D" w:rsidRPr="006426D6" w:rsidRDefault="0047770D" w:rsidP="003F1162">
            <w:pPr>
              <w:jc w:val="both"/>
              <w:rPr>
                <w:rFonts w:cstheme="minorHAnsi"/>
                <w:sz w:val="24"/>
                <w:szCs w:val="24"/>
              </w:rPr>
            </w:pPr>
          </w:p>
        </w:tc>
        <w:tc>
          <w:tcPr>
            <w:tcW w:w="8567" w:type="dxa"/>
          </w:tcPr>
          <w:p w14:paraId="4BEC342A" w14:textId="77777777" w:rsidR="0047770D" w:rsidRPr="006426D6" w:rsidRDefault="0047770D" w:rsidP="003F1162">
            <w:pPr>
              <w:jc w:val="both"/>
              <w:rPr>
                <w:rFonts w:cstheme="minorHAnsi"/>
                <w:sz w:val="24"/>
                <w:szCs w:val="24"/>
              </w:rPr>
            </w:pPr>
            <w:r w:rsidRPr="006426D6">
              <w:rPr>
                <w:rFonts w:cstheme="minorHAnsi"/>
                <w:sz w:val="24"/>
                <w:szCs w:val="24"/>
              </w:rPr>
              <w:t>Shall include sharing of unpublished price sensitive information in the ordinary course of business by an insider with partners, collaborators, lenders, customers, suppliers, merchant bankers, legal advisors, auditors, insolvency professional or other advisors or consultants, which sharing carried out to evade or circumvent the prohibitions of these regulations.</w:t>
            </w:r>
          </w:p>
          <w:p w14:paraId="3F9A0533" w14:textId="77777777" w:rsidR="0047770D" w:rsidRPr="006426D6" w:rsidRDefault="0047770D" w:rsidP="003F1162">
            <w:pPr>
              <w:pStyle w:val="ListParagraph"/>
              <w:ind w:left="360"/>
              <w:jc w:val="both"/>
              <w:rPr>
                <w:rFonts w:cstheme="minorHAnsi"/>
                <w:sz w:val="24"/>
                <w:szCs w:val="24"/>
              </w:rPr>
            </w:pPr>
          </w:p>
        </w:tc>
      </w:tr>
      <w:tr w:rsidR="00CA7D83" w:rsidRPr="006426D6" w14:paraId="6B65A68B" w14:textId="77777777" w:rsidTr="00B65E9A">
        <w:tc>
          <w:tcPr>
            <w:tcW w:w="9242" w:type="dxa"/>
            <w:gridSpan w:val="2"/>
          </w:tcPr>
          <w:p w14:paraId="5ED6A430" w14:textId="31B001FB" w:rsidR="00CA7D83" w:rsidRPr="006426D6" w:rsidRDefault="00CA7D83" w:rsidP="003F1162">
            <w:pPr>
              <w:jc w:val="both"/>
              <w:rPr>
                <w:rFonts w:cstheme="minorHAnsi"/>
                <w:b/>
                <w:sz w:val="24"/>
                <w:szCs w:val="24"/>
              </w:rPr>
            </w:pPr>
            <w:r w:rsidRPr="006426D6">
              <w:rPr>
                <w:rFonts w:cstheme="minorHAnsi"/>
                <w:b/>
                <w:sz w:val="24"/>
                <w:szCs w:val="24"/>
              </w:rPr>
              <w:t xml:space="preserve">“Unpublished price sensitive information” </w:t>
            </w:r>
            <w:r w:rsidR="0072528B">
              <w:rPr>
                <w:rFonts w:cstheme="minorHAnsi"/>
                <w:b/>
                <w:sz w:val="24"/>
                <w:szCs w:val="24"/>
              </w:rPr>
              <w:t>–</w:t>
            </w:r>
            <w:r w:rsidRPr="006426D6">
              <w:rPr>
                <w:rFonts w:cstheme="minorHAnsi"/>
                <w:b/>
                <w:sz w:val="24"/>
                <w:szCs w:val="24"/>
              </w:rPr>
              <w:t xml:space="preserve"> UPSI</w:t>
            </w:r>
          </w:p>
        </w:tc>
      </w:tr>
      <w:tr w:rsidR="00CA7D83" w:rsidRPr="006426D6" w14:paraId="72F46961" w14:textId="77777777" w:rsidTr="00B65E9A">
        <w:tc>
          <w:tcPr>
            <w:tcW w:w="675" w:type="dxa"/>
          </w:tcPr>
          <w:p w14:paraId="35B30BEC" w14:textId="77777777" w:rsidR="00CA7D83" w:rsidRPr="006426D6" w:rsidRDefault="00CA7D83" w:rsidP="003F1162">
            <w:pPr>
              <w:jc w:val="both"/>
              <w:rPr>
                <w:rFonts w:cstheme="minorHAnsi"/>
                <w:sz w:val="24"/>
                <w:szCs w:val="24"/>
              </w:rPr>
            </w:pPr>
          </w:p>
        </w:tc>
        <w:tc>
          <w:tcPr>
            <w:tcW w:w="8567" w:type="dxa"/>
          </w:tcPr>
          <w:p w14:paraId="30DD2617" w14:textId="77777777" w:rsidR="00CA7D83" w:rsidRPr="006426D6" w:rsidRDefault="00CA7D83" w:rsidP="003F1162">
            <w:pPr>
              <w:jc w:val="both"/>
              <w:rPr>
                <w:rFonts w:cstheme="minorHAnsi"/>
                <w:sz w:val="24"/>
                <w:szCs w:val="24"/>
              </w:rPr>
            </w:pPr>
            <w:r w:rsidRPr="006426D6">
              <w:rPr>
                <w:rFonts w:cstheme="minorHAnsi"/>
                <w:sz w:val="24"/>
                <w:szCs w:val="24"/>
              </w:rPr>
              <w:t xml:space="preserve">Means any information, relating to a company or its securities, directly or indirectly, that is not generally available which upon becoming generally available, is likely to materially affect the price of the securities and shall, ordinarily include but not restricted to, information relating </w:t>
            </w:r>
            <w:r w:rsidR="00FC1DDA" w:rsidRPr="006426D6">
              <w:rPr>
                <w:rFonts w:cstheme="minorHAnsi"/>
                <w:sz w:val="24"/>
                <w:szCs w:val="24"/>
              </w:rPr>
              <w:t>the following</w:t>
            </w:r>
            <w:r w:rsidRPr="006426D6">
              <w:rPr>
                <w:rFonts w:cstheme="minorHAnsi"/>
                <w:sz w:val="24"/>
                <w:szCs w:val="24"/>
              </w:rPr>
              <w:t>:</w:t>
            </w:r>
          </w:p>
          <w:p w14:paraId="2F0B1387" w14:textId="77777777" w:rsidR="00CA7D83" w:rsidRPr="006426D6" w:rsidRDefault="00CA7D83" w:rsidP="003F1162">
            <w:pPr>
              <w:pStyle w:val="ListParagraph"/>
              <w:numPr>
                <w:ilvl w:val="0"/>
                <w:numId w:val="2"/>
              </w:numPr>
              <w:jc w:val="both"/>
              <w:rPr>
                <w:rFonts w:cstheme="minorHAnsi"/>
                <w:sz w:val="24"/>
                <w:szCs w:val="24"/>
              </w:rPr>
            </w:pPr>
            <w:r w:rsidRPr="006426D6">
              <w:rPr>
                <w:rFonts w:cstheme="minorHAnsi"/>
                <w:sz w:val="24"/>
                <w:szCs w:val="24"/>
              </w:rPr>
              <w:t>Financial results;</w:t>
            </w:r>
          </w:p>
          <w:p w14:paraId="56F8ED58" w14:textId="77777777" w:rsidR="00CA7D83" w:rsidRPr="006426D6" w:rsidRDefault="00CA7D83" w:rsidP="003F1162">
            <w:pPr>
              <w:pStyle w:val="ListParagraph"/>
              <w:numPr>
                <w:ilvl w:val="0"/>
                <w:numId w:val="2"/>
              </w:numPr>
              <w:jc w:val="both"/>
              <w:rPr>
                <w:rFonts w:cstheme="minorHAnsi"/>
                <w:sz w:val="24"/>
                <w:szCs w:val="24"/>
              </w:rPr>
            </w:pPr>
            <w:r w:rsidRPr="006426D6">
              <w:rPr>
                <w:rFonts w:cstheme="minorHAnsi"/>
                <w:sz w:val="24"/>
                <w:szCs w:val="24"/>
              </w:rPr>
              <w:t>Dividends;</w:t>
            </w:r>
          </w:p>
          <w:p w14:paraId="26B637DD" w14:textId="77777777" w:rsidR="00CA7D83" w:rsidRPr="006426D6" w:rsidRDefault="00CA7D83" w:rsidP="003F1162">
            <w:pPr>
              <w:pStyle w:val="ListParagraph"/>
              <w:numPr>
                <w:ilvl w:val="0"/>
                <w:numId w:val="2"/>
              </w:numPr>
              <w:jc w:val="both"/>
              <w:rPr>
                <w:rFonts w:cstheme="minorHAnsi"/>
                <w:sz w:val="24"/>
                <w:szCs w:val="24"/>
              </w:rPr>
            </w:pPr>
            <w:r w:rsidRPr="006426D6">
              <w:rPr>
                <w:rFonts w:cstheme="minorHAnsi"/>
                <w:sz w:val="24"/>
                <w:szCs w:val="24"/>
              </w:rPr>
              <w:t>Change in capital structure;</w:t>
            </w:r>
          </w:p>
          <w:p w14:paraId="3789EC88" w14:textId="77777777" w:rsidR="00CA7D83" w:rsidRPr="006426D6" w:rsidRDefault="00CA7D83" w:rsidP="003F1162">
            <w:pPr>
              <w:pStyle w:val="ListParagraph"/>
              <w:numPr>
                <w:ilvl w:val="0"/>
                <w:numId w:val="2"/>
              </w:numPr>
              <w:jc w:val="both"/>
              <w:rPr>
                <w:rFonts w:cstheme="minorHAnsi"/>
                <w:sz w:val="24"/>
                <w:szCs w:val="24"/>
              </w:rPr>
            </w:pPr>
            <w:r w:rsidRPr="006426D6">
              <w:rPr>
                <w:rFonts w:cstheme="minorHAnsi"/>
                <w:sz w:val="24"/>
                <w:szCs w:val="24"/>
              </w:rPr>
              <w:t xml:space="preserve">Mergers, de-mergers, acquisitions, </w:t>
            </w:r>
            <w:r w:rsidR="001D0C1F" w:rsidRPr="006426D6">
              <w:rPr>
                <w:rFonts w:cstheme="minorHAnsi"/>
                <w:sz w:val="24"/>
                <w:szCs w:val="24"/>
              </w:rPr>
              <w:t>delisting</w:t>
            </w:r>
            <w:r w:rsidRPr="006426D6">
              <w:rPr>
                <w:rFonts w:cstheme="minorHAnsi"/>
                <w:sz w:val="24"/>
                <w:szCs w:val="24"/>
              </w:rPr>
              <w:t>, disposals and expansion of business and such other transactions;</w:t>
            </w:r>
          </w:p>
          <w:p w14:paraId="4143EFAE" w14:textId="77777777" w:rsidR="00CA7D83" w:rsidRPr="006426D6" w:rsidRDefault="00CA7D83" w:rsidP="003F1162">
            <w:pPr>
              <w:pStyle w:val="ListParagraph"/>
              <w:numPr>
                <w:ilvl w:val="0"/>
                <w:numId w:val="2"/>
              </w:numPr>
              <w:jc w:val="both"/>
              <w:rPr>
                <w:rFonts w:cstheme="minorHAnsi"/>
                <w:sz w:val="24"/>
                <w:szCs w:val="24"/>
              </w:rPr>
            </w:pPr>
            <w:r w:rsidRPr="006426D6">
              <w:rPr>
                <w:rFonts w:cstheme="minorHAnsi"/>
                <w:sz w:val="24"/>
                <w:szCs w:val="24"/>
              </w:rPr>
              <w:t>Changes in key managerial personnel.</w:t>
            </w:r>
          </w:p>
          <w:p w14:paraId="664EAA9E" w14:textId="77777777" w:rsidR="00FA24B7" w:rsidRPr="006426D6" w:rsidRDefault="00FA24B7" w:rsidP="003F1162">
            <w:pPr>
              <w:pStyle w:val="ListParagraph"/>
              <w:jc w:val="both"/>
              <w:rPr>
                <w:rFonts w:cstheme="minorHAnsi"/>
                <w:sz w:val="24"/>
                <w:szCs w:val="24"/>
              </w:rPr>
            </w:pPr>
          </w:p>
        </w:tc>
      </w:tr>
      <w:tr w:rsidR="00FA24B7" w:rsidRPr="006426D6" w14:paraId="133689F1" w14:textId="77777777" w:rsidTr="00B65E9A">
        <w:tc>
          <w:tcPr>
            <w:tcW w:w="9242" w:type="dxa"/>
            <w:gridSpan w:val="2"/>
          </w:tcPr>
          <w:p w14:paraId="257BA35A" w14:textId="77777777" w:rsidR="00FA24B7" w:rsidRPr="006426D6" w:rsidRDefault="00FA24B7" w:rsidP="003F1162">
            <w:pPr>
              <w:jc w:val="both"/>
              <w:rPr>
                <w:rFonts w:cstheme="minorHAnsi"/>
                <w:b/>
                <w:sz w:val="24"/>
                <w:szCs w:val="24"/>
              </w:rPr>
            </w:pPr>
            <w:r w:rsidRPr="006426D6">
              <w:rPr>
                <w:rFonts w:cstheme="minorHAnsi"/>
                <w:b/>
                <w:sz w:val="24"/>
                <w:szCs w:val="24"/>
              </w:rPr>
              <w:t>“Insider”</w:t>
            </w:r>
          </w:p>
        </w:tc>
      </w:tr>
      <w:tr w:rsidR="00FA24B7" w:rsidRPr="006426D6" w14:paraId="1FBF0D54" w14:textId="77777777" w:rsidTr="00B65E9A">
        <w:tc>
          <w:tcPr>
            <w:tcW w:w="675" w:type="dxa"/>
          </w:tcPr>
          <w:p w14:paraId="2E5698A7" w14:textId="77777777" w:rsidR="00FA24B7" w:rsidRPr="006426D6" w:rsidRDefault="00FA24B7" w:rsidP="003F1162">
            <w:pPr>
              <w:jc w:val="both"/>
              <w:rPr>
                <w:rFonts w:cstheme="minorHAnsi"/>
                <w:sz w:val="24"/>
                <w:szCs w:val="24"/>
              </w:rPr>
            </w:pPr>
          </w:p>
        </w:tc>
        <w:tc>
          <w:tcPr>
            <w:tcW w:w="8567" w:type="dxa"/>
          </w:tcPr>
          <w:p w14:paraId="4B2AF7B0" w14:textId="77777777" w:rsidR="00FA24B7" w:rsidRPr="006426D6" w:rsidRDefault="00FA24B7" w:rsidP="003F1162">
            <w:pPr>
              <w:jc w:val="both"/>
              <w:rPr>
                <w:rFonts w:cstheme="minorHAnsi"/>
                <w:sz w:val="24"/>
                <w:szCs w:val="24"/>
              </w:rPr>
            </w:pPr>
            <w:r w:rsidRPr="006426D6">
              <w:rPr>
                <w:rFonts w:cstheme="minorHAnsi"/>
                <w:sz w:val="24"/>
                <w:szCs w:val="24"/>
              </w:rPr>
              <w:t>Means any person who is:</w:t>
            </w:r>
          </w:p>
          <w:p w14:paraId="4A6CFD8B" w14:textId="77777777" w:rsidR="00FA24B7" w:rsidRPr="006426D6" w:rsidRDefault="00FA24B7" w:rsidP="003F1162">
            <w:pPr>
              <w:pStyle w:val="ListParagraph"/>
              <w:numPr>
                <w:ilvl w:val="0"/>
                <w:numId w:val="2"/>
              </w:numPr>
              <w:jc w:val="both"/>
              <w:rPr>
                <w:rFonts w:cstheme="minorHAnsi"/>
                <w:sz w:val="24"/>
                <w:szCs w:val="24"/>
              </w:rPr>
            </w:pPr>
            <w:r w:rsidRPr="006426D6">
              <w:rPr>
                <w:rFonts w:cstheme="minorHAnsi"/>
                <w:sz w:val="24"/>
                <w:szCs w:val="24"/>
              </w:rPr>
              <w:t>a connected person; of</w:t>
            </w:r>
          </w:p>
          <w:p w14:paraId="524798D5" w14:textId="77777777" w:rsidR="00FA24B7" w:rsidRPr="006426D6" w:rsidRDefault="00FA24B7" w:rsidP="003F1162">
            <w:pPr>
              <w:pStyle w:val="ListParagraph"/>
              <w:numPr>
                <w:ilvl w:val="0"/>
                <w:numId w:val="2"/>
              </w:numPr>
              <w:jc w:val="both"/>
              <w:rPr>
                <w:rFonts w:cstheme="minorHAnsi"/>
                <w:sz w:val="24"/>
                <w:szCs w:val="24"/>
              </w:rPr>
            </w:pPr>
            <w:r w:rsidRPr="006426D6">
              <w:rPr>
                <w:rFonts w:cstheme="minorHAnsi"/>
                <w:sz w:val="24"/>
                <w:szCs w:val="24"/>
              </w:rPr>
              <w:t>in possession of or having access to unpublished price sensitive information</w:t>
            </w:r>
          </w:p>
        </w:tc>
      </w:tr>
      <w:tr w:rsidR="00CA7D83" w:rsidRPr="006426D6" w14:paraId="44FB494A" w14:textId="77777777" w:rsidTr="00B65E9A">
        <w:tc>
          <w:tcPr>
            <w:tcW w:w="675" w:type="dxa"/>
          </w:tcPr>
          <w:p w14:paraId="7F6F2335" w14:textId="77777777" w:rsidR="00CA7D83" w:rsidRPr="006426D6" w:rsidRDefault="00CA7D83" w:rsidP="003F1162">
            <w:pPr>
              <w:jc w:val="both"/>
              <w:rPr>
                <w:rFonts w:cstheme="minorHAnsi"/>
                <w:sz w:val="24"/>
                <w:szCs w:val="24"/>
              </w:rPr>
            </w:pPr>
          </w:p>
        </w:tc>
        <w:tc>
          <w:tcPr>
            <w:tcW w:w="8567" w:type="dxa"/>
          </w:tcPr>
          <w:p w14:paraId="65A6A455" w14:textId="77777777" w:rsidR="00CA7D83" w:rsidRPr="006426D6" w:rsidRDefault="00CA7D83" w:rsidP="003F1162">
            <w:pPr>
              <w:pStyle w:val="ListParagraph"/>
              <w:ind w:left="360"/>
              <w:jc w:val="both"/>
              <w:rPr>
                <w:rFonts w:cstheme="minorHAnsi"/>
                <w:sz w:val="24"/>
                <w:szCs w:val="24"/>
              </w:rPr>
            </w:pPr>
          </w:p>
        </w:tc>
      </w:tr>
      <w:tr w:rsidR="00CA7D83" w:rsidRPr="006426D6" w14:paraId="7FBCA3FE" w14:textId="77777777" w:rsidTr="00B65E9A">
        <w:tc>
          <w:tcPr>
            <w:tcW w:w="9242" w:type="dxa"/>
            <w:gridSpan w:val="2"/>
          </w:tcPr>
          <w:p w14:paraId="773771BF" w14:textId="77777777" w:rsidR="00CA7D83" w:rsidRPr="006426D6" w:rsidRDefault="000F706A" w:rsidP="003F1162">
            <w:pPr>
              <w:jc w:val="both"/>
              <w:rPr>
                <w:rFonts w:cstheme="minorHAnsi"/>
                <w:b/>
                <w:sz w:val="24"/>
                <w:szCs w:val="24"/>
                <w:u w:val="single"/>
              </w:rPr>
            </w:pPr>
            <w:r w:rsidRPr="006426D6">
              <w:rPr>
                <w:rFonts w:cstheme="minorHAnsi"/>
                <w:b/>
                <w:sz w:val="24"/>
                <w:szCs w:val="24"/>
                <w:u w:val="single"/>
              </w:rPr>
              <w:t>COMMUNICATION OR PROCUREMENT OF UPSI</w:t>
            </w:r>
          </w:p>
          <w:p w14:paraId="2513B2BC" w14:textId="77777777" w:rsidR="00B559A1" w:rsidRPr="006426D6" w:rsidRDefault="00B559A1" w:rsidP="003F1162">
            <w:pPr>
              <w:jc w:val="both"/>
              <w:rPr>
                <w:rFonts w:cstheme="minorHAnsi"/>
                <w:b/>
                <w:sz w:val="24"/>
                <w:szCs w:val="24"/>
                <w:u w:val="single"/>
              </w:rPr>
            </w:pPr>
          </w:p>
        </w:tc>
      </w:tr>
      <w:tr w:rsidR="0047770D" w:rsidRPr="006426D6" w14:paraId="62F06008" w14:textId="77777777" w:rsidTr="00B65E9A">
        <w:tc>
          <w:tcPr>
            <w:tcW w:w="675" w:type="dxa"/>
          </w:tcPr>
          <w:p w14:paraId="02EC5557" w14:textId="77777777" w:rsidR="0047770D" w:rsidRPr="006426D6" w:rsidRDefault="0047770D" w:rsidP="003F1162">
            <w:pPr>
              <w:jc w:val="both"/>
              <w:rPr>
                <w:rFonts w:cstheme="minorHAnsi"/>
                <w:sz w:val="24"/>
                <w:szCs w:val="24"/>
              </w:rPr>
            </w:pPr>
          </w:p>
        </w:tc>
        <w:tc>
          <w:tcPr>
            <w:tcW w:w="8567" w:type="dxa"/>
          </w:tcPr>
          <w:p w14:paraId="3F92AD11" w14:textId="77777777" w:rsidR="000E1565" w:rsidRPr="006426D6" w:rsidRDefault="000E1565" w:rsidP="003F1162">
            <w:pPr>
              <w:pStyle w:val="ListParagraph"/>
              <w:numPr>
                <w:ilvl w:val="0"/>
                <w:numId w:val="1"/>
              </w:numPr>
              <w:jc w:val="both"/>
              <w:rPr>
                <w:rFonts w:cstheme="minorHAnsi"/>
                <w:sz w:val="24"/>
                <w:szCs w:val="24"/>
              </w:rPr>
            </w:pPr>
            <w:r w:rsidRPr="006426D6">
              <w:rPr>
                <w:rFonts w:cstheme="minorHAnsi"/>
                <w:sz w:val="24"/>
                <w:szCs w:val="24"/>
              </w:rPr>
              <w:t xml:space="preserve">Notice shall be given to all such persons to maintain </w:t>
            </w:r>
            <w:r w:rsidR="00D2097F">
              <w:rPr>
                <w:rFonts w:cstheme="minorHAnsi"/>
                <w:sz w:val="24"/>
                <w:szCs w:val="24"/>
              </w:rPr>
              <w:t xml:space="preserve">the </w:t>
            </w:r>
            <w:r w:rsidRPr="006426D6">
              <w:rPr>
                <w:rFonts w:cstheme="minorHAnsi"/>
                <w:sz w:val="24"/>
                <w:szCs w:val="24"/>
              </w:rPr>
              <w:t>confidentiality of such UPSI</w:t>
            </w:r>
            <w:r w:rsidR="007B768B" w:rsidRPr="006426D6">
              <w:rPr>
                <w:rFonts w:cstheme="minorHAnsi"/>
                <w:sz w:val="24"/>
                <w:szCs w:val="24"/>
              </w:rPr>
              <w:t>;</w:t>
            </w:r>
          </w:p>
          <w:p w14:paraId="7906436F" w14:textId="77777777" w:rsidR="0047770D" w:rsidRPr="006426D6" w:rsidRDefault="007B768B" w:rsidP="003F1162">
            <w:pPr>
              <w:pStyle w:val="ListParagraph"/>
              <w:numPr>
                <w:ilvl w:val="0"/>
                <w:numId w:val="1"/>
              </w:numPr>
              <w:jc w:val="both"/>
              <w:rPr>
                <w:rFonts w:cstheme="minorHAnsi"/>
                <w:sz w:val="24"/>
                <w:szCs w:val="24"/>
              </w:rPr>
            </w:pPr>
            <w:r w:rsidRPr="006426D6">
              <w:rPr>
                <w:rFonts w:cstheme="minorHAnsi"/>
                <w:sz w:val="24"/>
                <w:szCs w:val="24"/>
              </w:rPr>
              <w:t xml:space="preserve">UPSI may be communicated, where the board of </w:t>
            </w:r>
            <w:r w:rsidR="0014702F" w:rsidRPr="006426D6">
              <w:rPr>
                <w:rFonts w:cstheme="minorHAnsi"/>
                <w:sz w:val="24"/>
                <w:szCs w:val="24"/>
              </w:rPr>
              <w:t>directors is</w:t>
            </w:r>
            <w:r w:rsidRPr="006426D6">
              <w:rPr>
                <w:rFonts w:cstheme="minorHAnsi"/>
                <w:sz w:val="24"/>
                <w:szCs w:val="24"/>
              </w:rPr>
              <w:t xml:space="preserve"> of opinion that sharing of such information is in the best interest of the company, in connection with a transaction that would entail an obligation to make an open officer under the takeover regulation;</w:t>
            </w:r>
          </w:p>
          <w:p w14:paraId="0055FD80" w14:textId="77777777" w:rsidR="007B768B" w:rsidRPr="006426D6" w:rsidRDefault="007B768B" w:rsidP="003F1162">
            <w:pPr>
              <w:pStyle w:val="ListParagraph"/>
              <w:numPr>
                <w:ilvl w:val="0"/>
                <w:numId w:val="1"/>
              </w:numPr>
              <w:jc w:val="both"/>
              <w:rPr>
                <w:rFonts w:cstheme="minorHAnsi"/>
                <w:sz w:val="24"/>
                <w:szCs w:val="24"/>
              </w:rPr>
            </w:pPr>
            <w:r w:rsidRPr="006426D6">
              <w:rPr>
                <w:rFonts w:cstheme="minorHAnsi"/>
                <w:sz w:val="24"/>
                <w:szCs w:val="24"/>
              </w:rPr>
              <w:t xml:space="preserve">The board of directors and parties execute </w:t>
            </w:r>
            <w:r w:rsidR="0014702F">
              <w:rPr>
                <w:rFonts w:cstheme="minorHAnsi"/>
                <w:sz w:val="24"/>
                <w:szCs w:val="24"/>
              </w:rPr>
              <w:t xml:space="preserve">an </w:t>
            </w:r>
            <w:r w:rsidRPr="006426D6">
              <w:rPr>
                <w:rFonts w:cstheme="minorHAnsi"/>
                <w:sz w:val="24"/>
                <w:szCs w:val="24"/>
              </w:rPr>
              <w:t>agreement to contract confidentiality shall not trade in securities of the company when in possession of UPSI;</w:t>
            </w:r>
          </w:p>
          <w:p w14:paraId="7DEADADB" w14:textId="77777777" w:rsidR="007B768B" w:rsidRDefault="007B768B" w:rsidP="003F1162">
            <w:pPr>
              <w:pStyle w:val="ListParagraph"/>
              <w:numPr>
                <w:ilvl w:val="0"/>
                <w:numId w:val="1"/>
              </w:numPr>
              <w:jc w:val="both"/>
              <w:rPr>
                <w:rFonts w:cstheme="minorHAnsi"/>
                <w:sz w:val="24"/>
                <w:szCs w:val="24"/>
              </w:rPr>
            </w:pPr>
            <w:r w:rsidRPr="006426D6">
              <w:rPr>
                <w:rFonts w:cstheme="minorHAnsi"/>
                <w:sz w:val="24"/>
                <w:szCs w:val="24"/>
              </w:rPr>
              <w:t xml:space="preserve">Board of </w:t>
            </w:r>
            <w:r w:rsidR="00F016D4">
              <w:rPr>
                <w:rFonts w:cstheme="minorHAnsi"/>
                <w:sz w:val="24"/>
                <w:szCs w:val="24"/>
              </w:rPr>
              <w:t>Directors</w:t>
            </w:r>
            <w:r w:rsidRPr="006426D6">
              <w:rPr>
                <w:rFonts w:cstheme="minorHAnsi"/>
                <w:sz w:val="24"/>
                <w:szCs w:val="24"/>
              </w:rPr>
              <w:t xml:space="preserve"> shall ensure </w:t>
            </w:r>
            <w:r w:rsidR="004C22E9">
              <w:rPr>
                <w:rFonts w:cstheme="minorHAnsi"/>
                <w:sz w:val="24"/>
                <w:szCs w:val="24"/>
              </w:rPr>
              <w:t xml:space="preserve">a </w:t>
            </w:r>
            <w:r w:rsidRPr="006426D6">
              <w:rPr>
                <w:rFonts w:cstheme="minorHAnsi"/>
                <w:sz w:val="24"/>
                <w:szCs w:val="24"/>
              </w:rPr>
              <w:t xml:space="preserve">structured digital </w:t>
            </w:r>
            <w:r w:rsidR="00462EB0">
              <w:rPr>
                <w:rFonts w:cstheme="minorHAnsi"/>
                <w:sz w:val="24"/>
                <w:szCs w:val="24"/>
              </w:rPr>
              <w:t>database</w:t>
            </w:r>
            <w:r w:rsidRPr="006426D6">
              <w:rPr>
                <w:rFonts w:cstheme="minorHAnsi"/>
                <w:sz w:val="24"/>
                <w:szCs w:val="24"/>
              </w:rPr>
              <w:t xml:space="preserve"> is maintained with time stamping along with </w:t>
            </w:r>
            <w:r w:rsidR="00C43DD0">
              <w:rPr>
                <w:rFonts w:cstheme="minorHAnsi"/>
                <w:sz w:val="24"/>
                <w:szCs w:val="24"/>
              </w:rPr>
              <w:t xml:space="preserve">a </w:t>
            </w:r>
            <w:r w:rsidRPr="006426D6">
              <w:rPr>
                <w:rFonts w:cstheme="minorHAnsi"/>
                <w:sz w:val="24"/>
                <w:szCs w:val="24"/>
              </w:rPr>
              <w:t>Permanent Account number or any other identification authorized by law where PAN is not available;</w:t>
            </w:r>
          </w:p>
          <w:p w14:paraId="35DB0F14" w14:textId="77777777" w:rsidR="003F256A" w:rsidRDefault="003F256A" w:rsidP="003F256A">
            <w:pPr>
              <w:jc w:val="both"/>
              <w:rPr>
                <w:rFonts w:cstheme="minorHAnsi"/>
                <w:sz w:val="24"/>
                <w:szCs w:val="24"/>
              </w:rPr>
            </w:pPr>
          </w:p>
          <w:p w14:paraId="2FDE3C5F" w14:textId="77777777" w:rsidR="003F256A" w:rsidRPr="003F256A" w:rsidRDefault="003F256A" w:rsidP="003F256A">
            <w:pPr>
              <w:jc w:val="both"/>
              <w:rPr>
                <w:rFonts w:cstheme="minorHAnsi"/>
                <w:sz w:val="24"/>
                <w:szCs w:val="24"/>
              </w:rPr>
            </w:pPr>
          </w:p>
          <w:p w14:paraId="7BBED4A3" w14:textId="77777777" w:rsidR="000F706A" w:rsidRPr="006426D6" w:rsidRDefault="000F706A" w:rsidP="003F1162">
            <w:pPr>
              <w:pStyle w:val="ListParagraph"/>
              <w:ind w:left="360"/>
              <w:jc w:val="both"/>
              <w:rPr>
                <w:rFonts w:cstheme="minorHAnsi"/>
                <w:sz w:val="24"/>
                <w:szCs w:val="24"/>
              </w:rPr>
            </w:pPr>
          </w:p>
        </w:tc>
      </w:tr>
      <w:tr w:rsidR="000F706A" w:rsidRPr="006426D6" w14:paraId="10AC16A7" w14:textId="77777777" w:rsidTr="00B65E9A">
        <w:tc>
          <w:tcPr>
            <w:tcW w:w="9242" w:type="dxa"/>
            <w:gridSpan w:val="2"/>
          </w:tcPr>
          <w:p w14:paraId="3AA1059F" w14:textId="77777777" w:rsidR="000F706A" w:rsidRPr="006426D6" w:rsidRDefault="000F706A" w:rsidP="003F1162">
            <w:pPr>
              <w:jc w:val="both"/>
              <w:rPr>
                <w:rFonts w:cstheme="minorHAnsi"/>
                <w:b/>
                <w:sz w:val="24"/>
                <w:szCs w:val="24"/>
                <w:u w:val="single"/>
              </w:rPr>
            </w:pPr>
            <w:r w:rsidRPr="006426D6">
              <w:rPr>
                <w:rFonts w:cstheme="minorHAnsi"/>
                <w:b/>
                <w:sz w:val="24"/>
                <w:szCs w:val="24"/>
                <w:u w:val="single"/>
              </w:rPr>
              <w:lastRenderedPageBreak/>
              <w:t>CODE OF FAIR DISCLOSURE AND CONDUCT</w:t>
            </w:r>
          </w:p>
          <w:p w14:paraId="4E61821F" w14:textId="77777777" w:rsidR="00B559A1" w:rsidRPr="00F9604B" w:rsidRDefault="00B559A1" w:rsidP="003F1162">
            <w:pPr>
              <w:jc w:val="both"/>
              <w:rPr>
                <w:rFonts w:cstheme="minorHAnsi"/>
                <w:b/>
                <w:sz w:val="8"/>
                <w:szCs w:val="24"/>
                <w:u w:val="single"/>
              </w:rPr>
            </w:pPr>
          </w:p>
          <w:p w14:paraId="0DC9C58B" w14:textId="77777777" w:rsidR="00B05686" w:rsidRPr="006426D6" w:rsidRDefault="00B05686" w:rsidP="003F1162">
            <w:pPr>
              <w:jc w:val="both"/>
              <w:rPr>
                <w:rFonts w:cstheme="minorHAnsi"/>
                <w:b/>
                <w:sz w:val="24"/>
                <w:szCs w:val="24"/>
                <w:u w:val="single"/>
              </w:rPr>
            </w:pPr>
          </w:p>
        </w:tc>
      </w:tr>
      <w:tr w:rsidR="0047770D" w:rsidRPr="006426D6" w14:paraId="228E1CC7" w14:textId="77777777" w:rsidTr="00B65E9A">
        <w:tc>
          <w:tcPr>
            <w:tcW w:w="675" w:type="dxa"/>
          </w:tcPr>
          <w:p w14:paraId="34EDBE24" w14:textId="77777777" w:rsidR="0047770D" w:rsidRPr="006426D6" w:rsidRDefault="0047770D" w:rsidP="003F1162">
            <w:pPr>
              <w:jc w:val="both"/>
              <w:rPr>
                <w:rFonts w:cstheme="minorHAnsi"/>
                <w:sz w:val="24"/>
                <w:szCs w:val="24"/>
              </w:rPr>
            </w:pPr>
          </w:p>
        </w:tc>
        <w:tc>
          <w:tcPr>
            <w:tcW w:w="8567" w:type="dxa"/>
          </w:tcPr>
          <w:p w14:paraId="1FA42AC5" w14:textId="77777777" w:rsidR="0047770D" w:rsidRPr="006426D6" w:rsidRDefault="000F706A" w:rsidP="003F1162">
            <w:pPr>
              <w:pStyle w:val="ListParagraph"/>
              <w:numPr>
                <w:ilvl w:val="0"/>
                <w:numId w:val="3"/>
              </w:numPr>
              <w:jc w:val="both"/>
              <w:rPr>
                <w:rFonts w:cstheme="minorHAnsi"/>
                <w:sz w:val="24"/>
                <w:szCs w:val="24"/>
              </w:rPr>
            </w:pPr>
            <w:r w:rsidRPr="006426D6">
              <w:rPr>
                <w:rFonts w:cstheme="minorHAnsi"/>
                <w:sz w:val="24"/>
                <w:szCs w:val="24"/>
              </w:rPr>
              <w:t>Shall formulate and publish on its official website, a code of practices and procedures for fair disclosure of UPSI;</w:t>
            </w:r>
          </w:p>
          <w:p w14:paraId="78098A2D" w14:textId="77777777" w:rsidR="000F706A" w:rsidRPr="006426D6" w:rsidRDefault="000F706A" w:rsidP="003F1162">
            <w:pPr>
              <w:pStyle w:val="ListParagraph"/>
              <w:numPr>
                <w:ilvl w:val="0"/>
                <w:numId w:val="3"/>
              </w:numPr>
              <w:jc w:val="both"/>
              <w:rPr>
                <w:rFonts w:cstheme="minorHAnsi"/>
                <w:sz w:val="24"/>
                <w:szCs w:val="24"/>
              </w:rPr>
            </w:pPr>
            <w:r w:rsidRPr="006426D6">
              <w:rPr>
                <w:rFonts w:cstheme="minorHAnsi"/>
                <w:sz w:val="24"/>
                <w:szCs w:val="24"/>
              </w:rPr>
              <w:t>Every amendment shall be promptly intimated to Stock Exchange;</w:t>
            </w:r>
          </w:p>
          <w:p w14:paraId="2106CC8C" w14:textId="77777777" w:rsidR="000F706A" w:rsidRPr="006426D6" w:rsidRDefault="000F706A" w:rsidP="003F1162">
            <w:pPr>
              <w:pStyle w:val="ListParagraph"/>
              <w:numPr>
                <w:ilvl w:val="0"/>
                <w:numId w:val="3"/>
              </w:numPr>
              <w:jc w:val="both"/>
              <w:rPr>
                <w:rFonts w:cstheme="minorHAnsi"/>
                <w:sz w:val="24"/>
                <w:szCs w:val="24"/>
              </w:rPr>
            </w:pPr>
            <w:r w:rsidRPr="006426D6">
              <w:rPr>
                <w:rFonts w:cstheme="minorHAnsi"/>
                <w:sz w:val="24"/>
                <w:szCs w:val="24"/>
              </w:rPr>
              <w:t>Shall ensure uniform and universal dissemination of UPSI;</w:t>
            </w:r>
          </w:p>
          <w:p w14:paraId="1CE1D56D" w14:textId="77777777" w:rsidR="000F706A" w:rsidRPr="006426D6" w:rsidRDefault="000F706A" w:rsidP="003F1162">
            <w:pPr>
              <w:pStyle w:val="ListParagraph"/>
              <w:numPr>
                <w:ilvl w:val="0"/>
                <w:numId w:val="3"/>
              </w:numPr>
              <w:jc w:val="both"/>
              <w:rPr>
                <w:rFonts w:cstheme="minorHAnsi"/>
                <w:sz w:val="24"/>
                <w:szCs w:val="24"/>
              </w:rPr>
            </w:pPr>
            <w:r w:rsidRPr="006426D6">
              <w:rPr>
                <w:rFonts w:cstheme="minorHAnsi"/>
                <w:sz w:val="24"/>
                <w:szCs w:val="24"/>
              </w:rPr>
              <w:t xml:space="preserve">Company Secretary and compliance officer of the </w:t>
            </w:r>
            <w:r w:rsidR="00A53C7A" w:rsidRPr="006426D6">
              <w:rPr>
                <w:rFonts w:cstheme="minorHAnsi"/>
                <w:sz w:val="24"/>
                <w:szCs w:val="24"/>
              </w:rPr>
              <w:t>company duly</w:t>
            </w:r>
            <w:r w:rsidRPr="006426D6">
              <w:rPr>
                <w:rFonts w:cstheme="minorHAnsi"/>
                <w:sz w:val="24"/>
                <w:szCs w:val="24"/>
              </w:rPr>
              <w:t xml:space="preserve"> authorised to deal with dissemination of information and disclosure of UPSI;</w:t>
            </w:r>
          </w:p>
          <w:p w14:paraId="1EC583C7" w14:textId="77777777" w:rsidR="000F706A" w:rsidRPr="006426D6" w:rsidRDefault="000F706A" w:rsidP="003F1162">
            <w:pPr>
              <w:pStyle w:val="ListParagraph"/>
              <w:numPr>
                <w:ilvl w:val="0"/>
                <w:numId w:val="3"/>
              </w:numPr>
              <w:jc w:val="both"/>
              <w:rPr>
                <w:rFonts w:cstheme="minorHAnsi"/>
                <w:sz w:val="24"/>
                <w:szCs w:val="24"/>
              </w:rPr>
            </w:pPr>
            <w:r w:rsidRPr="006426D6">
              <w:rPr>
                <w:rFonts w:cstheme="minorHAnsi"/>
                <w:sz w:val="24"/>
                <w:szCs w:val="24"/>
              </w:rPr>
              <w:t>Appropriate and fair response to queries;</w:t>
            </w:r>
          </w:p>
          <w:p w14:paraId="1A5D2038" w14:textId="77777777" w:rsidR="000F706A" w:rsidRPr="006426D6" w:rsidRDefault="000F706A" w:rsidP="003F1162">
            <w:pPr>
              <w:pStyle w:val="ListParagraph"/>
              <w:numPr>
                <w:ilvl w:val="0"/>
                <w:numId w:val="3"/>
              </w:numPr>
              <w:jc w:val="both"/>
              <w:rPr>
                <w:rFonts w:cstheme="minorHAnsi"/>
                <w:sz w:val="24"/>
                <w:szCs w:val="24"/>
              </w:rPr>
            </w:pPr>
            <w:r w:rsidRPr="006426D6">
              <w:rPr>
                <w:rFonts w:cstheme="minorHAnsi"/>
                <w:sz w:val="24"/>
                <w:szCs w:val="24"/>
              </w:rPr>
              <w:t>Information shared with analysts and research personnel shall not be UPSI;</w:t>
            </w:r>
          </w:p>
          <w:p w14:paraId="01A9BD4B" w14:textId="77777777" w:rsidR="000F706A" w:rsidRPr="006426D6" w:rsidRDefault="000F706A" w:rsidP="003F1162">
            <w:pPr>
              <w:pStyle w:val="ListParagraph"/>
              <w:numPr>
                <w:ilvl w:val="0"/>
                <w:numId w:val="3"/>
              </w:numPr>
              <w:jc w:val="both"/>
              <w:rPr>
                <w:rFonts w:cstheme="minorHAnsi"/>
                <w:sz w:val="24"/>
                <w:szCs w:val="24"/>
              </w:rPr>
            </w:pPr>
            <w:r w:rsidRPr="006426D6">
              <w:rPr>
                <w:rFonts w:cstheme="minorHAnsi"/>
                <w:sz w:val="24"/>
                <w:szCs w:val="24"/>
              </w:rPr>
              <w:t xml:space="preserve">Summaries </w:t>
            </w:r>
            <w:r w:rsidR="00B65E9A" w:rsidRPr="006426D6">
              <w:rPr>
                <w:rFonts w:cstheme="minorHAnsi"/>
                <w:sz w:val="24"/>
                <w:szCs w:val="24"/>
              </w:rPr>
              <w:t xml:space="preserve">of proceedings of meetings with analysts and other investor conferences be disseminated </w:t>
            </w:r>
            <w:r w:rsidR="005444FE" w:rsidRPr="006426D6">
              <w:rPr>
                <w:rFonts w:cstheme="minorHAnsi"/>
                <w:sz w:val="24"/>
                <w:szCs w:val="24"/>
              </w:rPr>
              <w:t>on</w:t>
            </w:r>
            <w:r w:rsidR="00B65E9A" w:rsidRPr="006426D6">
              <w:rPr>
                <w:rFonts w:cstheme="minorHAnsi"/>
                <w:sz w:val="24"/>
                <w:szCs w:val="24"/>
              </w:rPr>
              <w:t xml:space="preserve"> official website.</w:t>
            </w:r>
          </w:p>
          <w:p w14:paraId="67CF9B85" w14:textId="77777777" w:rsidR="000F706A" w:rsidRPr="006426D6" w:rsidRDefault="00B65E9A" w:rsidP="003F1162">
            <w:pPr>
              <w:pStyle w:val="ListParagraph"/>
              <w:numPr>
                <w:ilvl w:val="0"/>
                <w:numId w:val="3"/>
              </w:numPr>
              <w:jc w:val="both"/>
              <w:rPr>
                <w:rFonts w:cstheme="minorHAnsi"/>
                <w:sz w:val="24"/>
                <w:szCs w:val="24"/>
              </w:rPr>
            </w:pPr>
            <w:r w:rsidRPr="006426D6">
              <w:rPr>
                <w:rFonts w:cstheme="minorHAnsi"/>
                <w:sz w:val="24"/>
                <w:szCs w:val="24"/>
              </w:rPr>
              <w:t>Handling of all unpublished price sensitive information on a need-to know basis.</w:t>
            </w:r>
          </w:p>
        </w:tc>
      </w:tr>
      <w:tr w:rsidR="000F706A" w:rsidRPr="006426D6" w14:paraId="5A73B7DC" w14:textId="77777777" w:rsidTr="00B65E9A">
        <w:tc>
          <w:tcPr>
            <w:tcW w:w="675" w:type="dxa"/>
          </w:tcPr>
          <w:p w14:paraId="40F2CCF8" w14:textId="77777777" w:rsidR="000F706A" w:rsidRPr="006426D6" w:rsidRDefault="000F706A" w:rsidP="003F1162">
            <w:pPr>
              <w:jc w:val="both"/>
              <w:rPr>
                <w:rFonts w:cstheme="minorHAnsi"/>
                <w:sz w:val="24"/>
                <w:szCs w:val="24"/>
              </w:rPr>
            </w:pPr>
          </w:p>
        </w:tc>
        <w:tc>
          <w:tcPr>
            <w:tcW w:w="8567" w:type="dxa"/>
          </w:tcPr>
          <w:p w14:paraId="3DAE154B" w14:textId="77777777" w:rsidR="000F706A" w:rsidRPr="006426D6" w:rsidRDefault="000F706A" w:rsidP="003F1162">
            <w:pPr>
              <w:jc w:val="both"/>
              <w:rPr>
                <w:rFonts w:cstheme="minorHAnsi"/>
                <w:sz w:val="24"/>
                <w:szCs w:val="24"/>
              </w:rPr>
            </w:pPr>
          </w:p>
        </w:tc>
      </w:tr>
    </w:tbl>
    <w:p w14:paraId="2461560E" w14:textId="77777777" w:rsidR="0047770D" w:rsidRPr="006426D6" w:rsidRDefault="0047770D" w:rsidP="003F1162">
      <w:pPr>
        <w:jc w:val="both"/>
        <w:rPr>
          <w:rFonts w:cstheme="minorHAnsi"/>
          <w:sz w:val="24"/>
          <w:szCs w:val="24"/>
        </w:rPr>
      </w:pPr>
    </w:p>
    <w:sectPr w:rsidR="0047770D" w:rsidRPr="006426D6" w:rsidSect="00B05686">
      <w:pgSz w:w="11906" w:h="16838"/>
      <w:pgMar w:top="360" w:right="926" w:bottom="13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010C1"/>
    <w:multiLevelType w:val="hybridMultilevel"/>
    <w:tmpl w:val="868E71AA"/>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63AF7D5B"/>
    <w:multiLevelType w:val="hybridMultilevel"/>
    <w:tmpl w:val="F75AF188"/>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78163044"/>
    <w:multiLevelType w:val="hybridMultilevel"/>
    <w:tmpl w:val="63C01BE6"/>
    <w:lvl w:ilvl="0" w:tplc="DC1CA61E">
      <w:start w:val="3"/>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24542751">
    <w:abstractNumId w:val="0"/>
  </w:num>
  <w:num w:numId="2" w16cid:durableId="1034813807">
    <w:abstractNumId w:val="2"/>
  </w:num>
  <w:num w:numId="3" w16cid:durableId="1175342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7770D"/>
    <w:rsid w:val="00020AC2"/>
    <w:rsid w:val="00036CDF"/>
    <w:rsid w:val="00074F15"/>
    <w:rsid w:val="000C5F4C"/>
    <w:rsid w:val="000E1565"/>
    <w:rsid w:val="000E6393"/>
    <w:rsid w:val="000F706A"/>
    <w:rsid w:val="0014702F"/>
    <w:rsid w:val="00147EAA"/>
    <w:rsid w:val="001D0C1F"/>
    <w:rsid w:val="001D7127"/>
    <w:rsid w:val="001E4461"/>
    <w:rsid w:val="00206740"/>
    <w:rsid w:val="0023036A"/>
    <w:rsid w:val="00285C7C"/>
    <w:rsid w:val="0029160E"/>
    <w:rsid w:val="002B05CA"/>
    <w:rsid w:val="002F740F"/>
    <w:rsid w:val="003B0A76"/>
    <w:rsid w:val="003B6372"/>
    <w:rsid w:val="003F005D"/>
    <w:rsid w:val="003F1162"/>
    <w:rsid w:val="003F256A"/>
    <w:rsid w:val="00462EB0"/>
    <w:rsid w:val="00472CD5"/>
    <w:rsid w:val="0047770D"/>
    <w:rsid w:val="004C1D66"/>
    <w:rsid w:val="004C22E9"/>
    <w:rsid w:val="004C4E8F"/>
    <w:rsid w:val="005444FE"/>
    <w:rsid w:val="005C01D9"/>
    <w:rsid w:val="00606B7D"/>
    <w:rsid w:val="006138E3"/>
    <w:rsid w:val="006426D6"/>
    <w:rsid w:val="006657A2"/>
    <w:rsid w:val="006E32BD"/>
    <w:rsid w:val="006E39A4"/>
    <w:rsid w:val="006E4A7A"/>
    <w:rsid w:val="0072528B"/>
    <w:rsid w:val="00756C55"/>
    <w:rsid w:val="00766F21"/>
    <w:rsid w:val="007B768B"/>
    <w:rsid w:val="00800C26"/>
    <w:rsid w:val="00816995"/>
    <w:rsid w:val="00877AFA"/>
    <w:rsid w:val="0089680D"/>
    <w:rsid w:val="008A49F1"/>
    <w:rsid w:val="00941F50"/>
    <w:rsid w:val="0099233B"/>
    <w:rsid w:val="00A53C7A"/>
    <w:rsid w:val="00AD7428"/>
    <w:rsid w:val="00AF0C4C"/>
    <w:rsid w:val="00B05686"/>
    <w:rsid w:val="00B30332"/>
    <w:rsid w:val="00B45C88"/>
    <w:rsid w:val="00B559A1"/>
    <w:rsid w:val="00B65E9A"/>
    <w:rsid w:val="00B9635D"/>
    <w:rsid w:val="00C43DD0"/>
    <w:rsid w:val="00CA7D83"/>
    <w:rsid w:val="00CD1071"/>
    <w:rsid w:val="00CF0A24"/>
    <w:rsid w:val="00CF52B1"/>
    <w:rsid w:val="00D2097F"/>
    <w:rsid w:val="00D52CC7"/>
    <w:rsid w:val="00D54893"/>
    <w:rsid w:val="00D819E1"/>
    <w:rsid w:val="00E52397"/>
    <w:rsid w:val="00E729D2"/>
    <w:rsid w:val="00E91B0E"/>
    <w:rsid w:val="00E9733C"/>
    <w:rsid w:val="00F016D4"/>
    <w:rsid w:val="00F9604B"/>
    <w:rsid w:val="00FA24B7"/>
    <w:rsid w:val="00FC1DDA"/>
    <w:rsid w:val="00FE24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EC8E"/>
  <w15:docId w15:val="{A2D780B6-7A61-4E1B-82EB-27311DE4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F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70D"/>
    <w:rPr>
      <w:rFonts w:ascii="Tahoma" w:hAnsi="Tahoma" w:cs="Tahoma"/>
      <w:sz w:val="16"/>
      <w:szCs w:val="16"/>
    </w:rPr>
  </w:style>
  <w:style w:type="table" w:styleId="TableGrid">
    <w:name w:val="Table Grid"/>
    <w:basedOn w:val="TableNormal"/>
    <w:uiPriority w:val="59"/>
    <w:rsid w:val="00477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770D"/>
    <w:pPr>
      <w:ind w:left="720"/>
      <w:contextualSpacing/>
    </w:pPr>
  </w:style>
  <w:style w:type="paragraph" w:styleId="BodyText">
    <w:name w:val="Body Text"/>
    <w:basedOn w:val="Normal"/>
    <w:link w:val="BodyTextChar"/>
    <w:uiPriority w:val="1"/>
    <w:qFormat/>
    <w:rsid w:val="00D819E1"/>
    <w:pPr>
      <w:widowControl w:val="0"/>
      <w:autoSpaceDE w:val="0"/>
      <w:autoSpaceDN w:val="0"/>
      <w:spacing w:after="0" w:line="240" w:lineRule="auto"/>
    </w:pPr>
    <w:rPr>
      <w:rFonts w:ascii="Microsoft Sans Serif" w:eastAsia="Microsoft Sans Serif" w:hAnsi="Microsoft Sans Serif" w:cs="Microsoft Sans Serif"/>
      <w:sz w:val="24"/>
      <w:szCs w:val="24"/>
      <w:lang w:val="en-US"/>
    </w:rPr>
  </w:style>
  <w:style w:type="character" w:customStyle="1" w:styleId="BodyTextChar">
    <w:name w:val="Body Text Char"/>
    <w:basedOn w:val="DefaultParagraphFont"/>
    <w:link w:val="BodyText"/>
    <w:uiPriority w:val="1"/>
    <w:rsid w:val="00D819E1"/>
    <w:rPr>
      <w:rFonts w:ascii="Microsoft Sans Serif" w:eastAsia="Microsoft Sans Serif" w:hAnsi="Microsoft Sans Serif" w:cs="Microsoft Sans Serif"/>
      <w:sz w:val="24"/>
      <w:szCs w:val="24"/>
      <w:lang w:val="en-US"/>
    </w:rPr>
  </w:style>
  <w:style w:type="paragraph" w:styleId="Title">
    <w:name w:val="Title"/>
    <w:basedOn w:val="Normal"/>
    <w:link w:val="TitleChar"/>
    <w:uiPriority w:val="1"/>
    <w:qFormat/>
    <w:rsid w:val="00D819E1"/>
    <w:pPr>
      <w:widowControl w:val="0"/>
      <w:autoSpaceDE w:val="0"/>
      <w:autoSpaceDN w:val="0"/>
      <w:spacing w:before="97" w:after="0" w:line="240" w:lineRule="auto"/>
      <w:ind w:left="129" w:right="151"/>
      <w:jc w:val="center"/>
    </w:pPr>
    <w:rPr>
      <w:rFonts w:ascii="Cambria" w:eastAsia="Cambria" w:hAnsi="Cambria" w:cs="Cambria"/>
      <w:b/>
      <w:bCs/>
      <w:sz w:val="36"/>
      <w:szCs w:val="36"/>
      <w:lang w:val="en-US"/>
    </w:rPr>
  </w:style>
  <w:style w:type="character" w:customStyle="1" w:styleId="TitleChar">
    <w:name w:val="Title Char"/>
    <w:basedOn w:val="DefaultParagraphFont"/>
    <w:link w:val="Title"/>
    <w:uiPriority w:val="1"/>
    <w:rsid w:val="00D819E1"/>
    <w:rPr>
      <w:rFonts w:ascii="Cambria" w:eastAsia="Cambria" w:hAnsi="Cambria" w:cs="Cambria"/>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3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Aneetha Mani</dc:creator>
  <cp:lastModifiedBy>CompaniesLegal</cp:lastModifiedBy>
  <cp:revision>92</cp:revision>
  <cp:lastPrinted>2019-02-04T05:58:00Z</cp:lastPrinted>
  <dcterms:created xsi:type="dcterms:W3CDTF">2019-02-04T06:01:00Z</dcterms:created>
  <dcterms:modified xsi:type="dcterms:W3CDTF">2024-05-16T05:12:00Z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e6dc83fcd48dc5bb3a0fca0a45735a93d7dc940368f9747ad8de1827733cc022</vt:lpwstr>
  </property>
</Properties>
</file>